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E2" w:rsidRDefault="00D73A2B" w:rsidP="00D7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</w:t>
      </w:r>
    </w:p>
    <w:p w:rsidR="00D73A2B" w:rsidRDefault="004D7A08" w:rsidP="00D7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3A2B">
        <w:rPr>
          <w:rFonts w:ascii="Times New Roman" w:hAnsi="Times New Roman" w:cs="Times New Roman"/>
          <w:sz w:val="24"/>
          <w:szCs w:val="24"/>
        </w:rPr>
        <w:t>Studiate le congiunzioni coordinanti e subordinanti (pp. 466-467 e 471-473).</w:t>
      </w:r>
    </w:p>
    <w:p w:rsidR="00D73A2B" w:rsidRDefault="004D7A08" w:rsidP="00D7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p. 688 avevamo visto la </w:t>
      </w:r>
      <w:r w:rsidRPr="004D7A08">
        <w:rPr>
          <w:rFonts w:ascii="Times New Roman" w:hAnsi="Times New Roman" w:cs="Times New Roman"/>
          <w:b/>
          <w:sz w:val="24"/>
          <w:szCs w:val="24"/>
        </w:rPr>
        <w:t>coordinazione</w:t>
      </w:r>
      <w:r>
        <w:rPr>
          <w:rFonts w:ascii="Times New Roman" w:hAnsi="Times New Roman" w:cs="Times New Roman"/>
          <w:sz w:val="24"/>
          <w:szCs w:val="24"/>
        </w:rPr>
        <w:t xml:space="preserve"> (=legame tra due o più proposizioni </w:t>
      </w:r>
      <w:r w:rsidRPr="008529B8">
        <w:rPr>
          <w:rFonts w:ascii="Times New Roman" w:hAnsi="Times New Roman" w:cs="Times New Roman"/>
          <w:b/>
          <w:sz w:val="24"/>
          <w:szCs w:val="24"/>
        </w:rPr>
        <w:t>poste sullo stesso piano</w:t>
      </w:r>
      <w:r>
        <w:rPr>
          <w:rFonts w:ascii="Times New Roman" w:hAnsi="Times New Roman" w:cs="Times New Roman"/>
          <w:sz w:val="24"/>
          <w:szCs w:val="24"/>
        </w:rPr>
        <w:t xml:space="preserve">). La coordinazione può avvenire: </w:t>
      </w:r>
    </w:p>
    <w:p w:rsidR="004D7A08" w:rsidRDefault="004D7A08" w:rsidP="004D7A0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attraverso </w:t>
      </w:r>
      <w:r w:rsidRPr="00950C61">
        <w:rPr>
          <w:rFonts w:ascii="Times New Roman" w:hAnsi="Times New Roman" w:cs="Times New Roman"/>
          <w:b/>
          <w:sz w:val="24"/>
          <w:szCs w:val="24"/>
        </w:rPr>
        <w:t>congiunzioni coordinanti</w:t>
      </w:r>
      <w:r>
        <w:rPr>
          <w:rFonts w:ascii="Times New Roman" w:hAnsi="Times New Roman" w:cs="Times New Roman"/>
          <w:sz w:val="24"/>
          <w:szCs w:val="24"/>
        </w:rPr>
        <w:t xml:space="preserve"> (e, ma, o, perciò…);</w:t>
      </w:r>
    </w:p>
    <w:p w:rsidR="004D7A08" w:rsidRDefault="004D7A08" w:rsidP="004D7A0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attraverso </w:t>
      </w:r>
      <w:r w:rsidRPr="00950C61">
        <w:rPr>
          <w:rFonts w:ascii="Times New Roman" w:hAnsi="Times New Roman" w:cs="Times New Roman"/>
          <w:b/>
          <w:sz w:val="24"/>
          <w:szCs w:val="24"/>
        </w:rPr>
        <w:t>segni di punteggiatura debole</w:t>
      </w:r>
      <w:r>
        <w:rPr>
          <w:rFonts w:ascii="Times New Roman" w:hAnsi="Times New Roman" w:cs="Times New Roman"/>
          <w:sz w:val="24"/>
          <w:szCs w:val="24"/>
        </w:rPr>
        <w:t xml:space="preserve"> (virgola, punto e virgola, due punti): è la coordinazione per asindeto;</w:t>
      </w:r>
    </w:p>
    <w:p w:rsidR="004D7A08" w:rsidRDefault="004D7A08" w:rsidP="004D7A0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attraverso la </w:t>
      </w:r>
      <w:r w:rsidRPr="00950C61">
        <w:rPr>
          <w:rFonts w:ascii="Times New Roman" w:hAnsi="Times New Roman" w:cs="Times New Roman"/>
          <w:b/>
          <w:sz w:val="24"/>
          <w:szCs w:val="24"/>
        </w:rPr>
        <w:t>ripetizione</w:t>
      </w:r>
      <w:r>
        <w:rPr>
          <w:rFonts w:ascii="Times New Roman" w:hAnsi="Times New Roman" w:cs="Times New Roman"/>
          <w:sz w:val="24"/>
          <w:szCs w:val="24"/>
        </w:rPr>
        <w:t xml:space="preserve"> della stessa congiunzione coordinante (</w:t>
      </w:r>
      <w:r w:rsidRPr="004D7A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mangia e beve e dorme): la coordinazione per polisindeto;</w:t>
      </w:r>
    </w:p>
    <w:p w:rsidR="004D7A08" w:rsidRDefault="004D7A08" w:rsidP="004D7A08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attraverso una </w:t>
      </w:r>
      <w:r w:rsidRPr="00950C61">
        <w:rPr>
          <w:rFonts w:ascii="Times New Roman" w:hAnsi="Times New Roman" w:cs="Times New Roman"/>
          <w:b/>
          <w:sz w:val="24"/>
          <w:szCs w:val="24"/>
        </w:rPr>
        <w:t>correlazione</w:t>
      </w:r>
      <w:r w:rsidR="00950C61">
        <w:rPr>
          <w:rFonts w:ascii="Times New Roman" w:hAnsi="Times New Roman" w:cs="Times New Roman"/>
          <w:sz w:val="24"/>
          <w:szCs w:val="24"/>
        </w:rPr>
        <w:t>, ottenuta con congiunzioni, pronomi, avverbi (alcuni mangiavano, altri bevevano; chi rideva, chi piangeva, chi urlava; o mi sveli il segreto o non sei più mio amico)</w:t>
      </w:r>
    </w:p>
    <w:p w:rsidR="00950C61" w:rsidRDefault="00950C61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Abbiamo </w:t>
      </w:r>
      <w:r w:rsidRPr="00950C61">
        <w:rPr>
          <w:rFonts w:ascii="Times New Roman" w:hAnsi="Times New Roman" w:cs="Times New Roman"/>
          <w:b/>
          <w:sz w:val="24"/>
          <w:szCs w:val="24"/>
        </w:rPr>
        <w:t>diversi tipi di coordinate</w:t>
      </w:r>
      <w:r>
        <w:rPr>
          <w:rFonts w:ascii="Times New Roman" w:hAnsi="Times New Roman" w:cs="Times New Roman"/>
          <w:sz w:val="24"/>
          <w:szCs w:val="24"/>
        </w:rPr>
        <w:t>, in base al legame logico che c’è tra le frasi (copulative, avversative, disgiuntive, ecc.). L’uso delle congiunzioni coordinanti può aiutare a capire di che tipo di coordinata si tratta.</w:t>
      </w:r>
    </w:p>
    <w:p w:rsidR="00950C61" w:rsidRDefault="00950C61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C61" w:rsidRDefault="00950C61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p. 691 abbiamo la </w:t>
      </w:r>
      <w:r w:rsidRPr="008529B8">
        <w:rPr>
          <w:rFonts w:ascii="Times New Roman" w:hAnsi="Times New Roman" w:cs="Times New Roman"/>
          <w:b/>
          <w:sz w:val="24"/>
          <w:szCs w:val="24"/>
        </w:rPr>
        <w:t>subordinazione</w:t>
      </w:r>
      <w:r>
        <w:rPr>
          <w:rFonts w:ascii="Times New Roman" w:hAnsi="Times New Roman" w:cs="Times New Roman"/>
          <w:sz w:val="24"/>
          <w:szCs w:val="24"/>
        </w:rPr>
        <w:t xml:space="preserve"> (=legame di </w:t>
      </w:r>
      <w:r w:rsidRPr="008529B8">
        <w:rPr>
          <w:rFonts w:ascii="Times New Roman" w:hAnsi="Times New Roman" w:cs="Times New Roman"/>
          <w:b/>
          <w:sz w:val="24"/>
          <w:szCs w:val="24"/>
        </w:rPr>
        <w:t>dipendenza</w:t>
      </w:r>
      <w:r>
        <w:rPr>
          <w:rFonts w:ascii="Times New Roman" w:hAnsi="Times New Roman" w:cs="Times New Roman"/>
          <w:sz w:val="24"/>
          <w:szCs w:val="24"/>
        </w:rPr>
        <w:t xml:space="preserve"> tra due proposizioni, di cui una è la reggente</w:t>
      </w:r>
      <w:r w:rsidR="008529B8">
        <w:rPr>
          <w:rFonts w:ascii="Times New Roman" w:hAnsi="Times New Roman" w:cs="Times New Roman"/>
          <w:sz w:val="24"/>
          <w:szCs w:val="24"/>
        </w:rPr>
        <w:t>, l’altra è la frase dipendente, quindi la subordinata).</w:t>
      </w:r>
      <w:r w:rsidR="008529B8">
        <w:rPr>
          <w:rFonts w:ascii="Times New Roman" w:hAnsi="Times New Roman" w:cs="Times New Roman"/>
          <w:sz w:val="24"/>
          <w:szCs w:val="24"/>
        </w:rPr>
        <w:br/>
        <w:t xml:space="preserve">Altra differenza tra coordinate e subordinate: le coordinate si trovano sempre dopo la reggente, mentre le subordinate possono trovarsi sia dopo la reggente sia prima della reggente sia all’interno della reggente. </w:t>
      </w:r>
      <w:r w:rsidR="008529B8">
        <w:rPr>
          <w:rFonts w:ascii="Times New Roman" w:hAnsi="Times New Roman" w:cs="Times New Roman"/>
          <w:sz w:val="24"/>
          <w:szCs w:val="24"/>
        </w:rPr>
        <w:br/>
        <w:t>Esempio: Non puoi studiare poiché hai mal di testa</w:t>
      </w:r>
      <w:r w:rsidR="008529B8">
        <w:rPr>
          <w:rFonts w:ascii="Times New Roman" w:hAnsi="Times New Roman" w:cs="Times New Roman"/>
          <w:sz w:val="24"/>
          <w:szCs w:val="24"/>
        </w:rPr>
        <w:br/>
      </w:r>
      <w:r w:rsidR="008529B8">
        <w:rPr>
          <w:rFonts w:ascii="Times New Roman" w:hAnsi="Times New Roman" w:cs="Times New Roman"/>
          <w:sz w:val="24"/>
          <w:szCs w:val="24"/>
        </w:rPr>
        <w:tab/>
        <w:t xml:space="preserve">    Poiché hai mal di testa non puoi studiare</w:t>
      </w:r>
    </w:p>
    <w:p w:rsidR="008529B8" w:rsidRDefault="008529B8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Tu, poiché hai mal di testa, non puoi studiare</w:t>
      </w:r>
    </w:p>
    <w:p w:rsidR="008529B8" w:rsidRDefault="008529B8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subordinate </w:t>
      </w:r>
      <w:r w:rsidRPr="00D057D4">
        <w:rPr>
          <w:rFonts w:ascii="Times New Roman" w:hAnsi="Times New Roman" w:cs="Times New Roman"/>
          <w:b/>
          <w:sz w:val="24"/>
          <w:szCs w:val="24"/>
        </w:rPr>
        <w:t>possono essere introdotte</w:t>
      </w:r>
      <w:r>
        <w:rPr>
          <w:rFonts w:ascii="Times New Roman" w:hAnsi="Times New Roman" w:cs="Times New Roman"/>
          <w:sz w:val="24"/>
          <w:szCs w:val="24"/>
        </w:rPr>
        <w:t xml:space="preserve"> da congiunzioni subordinanti</w:t>
      </w:r>
      <w:r w:rsidR="00D057D4">
        <w:rPr>
          <w:rFonts w:ascii="Times New Roman" w:hAnsi="Times New Roman" w:cs="Times New Roman"/>
          <w:sz w:val="24"/>
          <w:szCs w:val="24"/>
        </w:rPr>
        <w:t xml:space="preserve"> (parla a voce alta </w:t>
      </w:r>
      <w:r w:rsidR="00D057D4" w:rsidRPr="00D057D4">
        <w:rPr>
          <w:rFonts w:ascii="Times New Roman" w:hAnsi="Times New Roman" w:cs="Times New Roman"/>
          <w:b/>
          <w:sz w:val="24"/>
          <w:szCs w:val="24"/>
        </w:rPr>
        <w:t>affinché</w:t>
      </w:r>
      <w:r w:rsidR="00D057D4">
        <w:rPr>
          <w:rFonts w:ascii="Times New Roman" w:hAnsi="Times New Roman" w:cs="Times New Roman"/>
          <w:sz w:val="24"/>
          <w:szCs w:val="24"/>
        </w:rPr>
        <w:t xml:space="preserve"> tutti sentano)</w:t>
      </w:r>
      <w:r>
        <w:rPr>
          <w:rFonts w:ascii="Times New Roman" w:hAnsi="Times New Roman" w:cs="Times New Roman"/>
          <w:sz w:val="24"/>
          <w:szCs w:val="24"/>
        </w:rPr>
        <w:t>, preposizioni</w:t>
      </w:r>
      <w:r w:rsidR="00D057D4">
        <w:rPr>
          <w:rFonts w:ascii="Times New Roman" w:hAnsi="Times New Roman" w:cs="Times New Roman"/>
          <w:sz w:val="24"/>
          <w:szCs w:val="24"/>
        </w:rPr>
        <w:t xml:space="preserve"> (mi ha confermato </w:t>
      </w:r>
      <w:r w:rsidR="00D057D4" w:rsidRPr="00D057D4">
        <w:rPr>
          <w:rFonts w:ascii="Times New Roman" w:hAnsi="Times New Roman" w:cs="Times New Roman"/>
          <w:b/>
          <w:sz w:val="24"/>
          <w:szCs w:val="24"/>
        </w:rPr>
        <w:t>di</w:t>
      </w:r>
      <w:r w:rsidR="00D057D4">
        <w:rPr>
          <w:rFonts w:ascii="Times New Roman" w:hAnsi="Times New Roman" w:cs="Times New Roman"/>
          <w:sz w:val="24"/>
          <w:szCs w:val="24"/>
        </w:rPr>
        <w:t xml:space="preserve"> volersi trasferire in Veneto)</w:t>
      </w:r>
      <w:r>
        <w:rPr>
          <w:rFonts w:ascii="Times New Roman" w:hAnsi="Times New Roman" w:cs="Times New Roman"/>
          <w:sz w:val="24"/>
          <w:szCs w:val="24"/>
        </w:rPr>
        <w:t>, pronomi e aggettivi interrogativi</w:t>
      </w:r>
      <w:r w:rsidR="00D057D4">
        <w:rPr>
          <w:rFonts w:ascii="Times New Roman" w:hAnsi="Times New Roman" w:cs="Times New Roman"/>
          <w:sz w:val="24"/>
          <w:szCs w:val="24"/>
        </w:rPr>
        <w:t xml:space="preserve"> (conosci </w:t>
      </w:r>
      <w:r w:rsidR="00D057D4" w:rsidRPr="00D057D4">
        <w:rPr>
          <w:rFonts w:ascii="Times New Roman" w:hAnsi="Times New Roman" w:cs="Times New Roman"/>
          <w:b/>
          <w:sz w:val="24"/>
          <w:szCs w:val="24"/>
        </w:rPr>
        <w:t>qual</w:t>
      </w:r>
      <w:r w:rsidR="00D057D4">
        <w:rPr>
          <w:rFonts w:ascii="Times New Roman" w:hAnsi="Times New Roman" w:cs="Times New Roman"/>
          <w:sz w:val="24"/>
          <w:szCs w:val="24"/>
        </w:rPr>
        <w:t xml:space="preserve"> è il suo nome?)</w:t>
      </w:r>
      <w:r>
        <w:rPr>
          <w:rFonts w:ascii="Times New Roman" w:hAnsi="Times New Roman" w:cs="Times New Roman"/>
          <w:sz w:val="24"/>
          <w:szCs w:val="24"/>
        </w:rPr>
        <w:t>, pronomi relativi</w:t>
      </w:r>
      <w:r w:rsidR="00D057D4">
        <w:rPr>
          <w:rFonts w:ascii="Times New Roman" w:hAnsi="Times New Roman" w:cs="Times New Roman"/>
          <w:sz w:val="24"/>
          <w:szCs w:val="24"/>
        </w:rPr>
        <w:t xml:space="preserve"> (mi ha restituito il libro </w:t>
      </w:r>
      <w:r w:rsidR="00D057D4" w:rsidRPr="00D057D4">
        <w:rPr>
          <w:rFonts w:ascii="Times New Roman" w:hAnsi="Times New Roman" w:cs="Times New Roman"/>
          <w:b/>
          <w:sz w:val="24"/>
          <w:szCs w:val="24"/>
        </w:rPr>
        <w:t>che</w:t>
      </w:r>
      <w:r w:rsidR="00D057D4">
        <w:rPr>
          <w:rFonts w:ascii="Times New Roman" w:hAnsi="Times New Roman" w:cs="Times New Roman"/>
          <w:sz w:val="24"/>
          <w:szCs w:val="24"/>
        </w:rPr>
        <w:t xml:space="preserve"> gli avevo prestato tempo fa)</w:t>
      </w:r>
      <w:r>
        <w:rPr>
          <w:rFonts w:ascii="Times New Roman" w:hAnsi="Times New Roman" w:cs="Times New Roman"/>
          <w:sz w:val="24"/>
          <w:szCs w:val="24"/>
        </w:rPr>
        <w:t>, avverbi</w:t>
      </w:r>
      <w:r w:rsidR="00D057D4">
        <w:rPr>
          <w:rFonts w:ascii="Times New Roman" w:hAnsi="Times New Roman" w:cs="Times New Roman"/>
          <w:sz w:val="24"/>
          <w:szCs w:val="24"/>
        </w:rPr>
        <w:t xml:space="preserve"> (non so </w:t>
      </w:r>
      <w:r w:rsidR="00D057D4" w:rsidRPr="00D057D4">
        <w:rPr>
          <w:rFonts w:ascii="Times New Roman" w:hAnsi="Times New Roman" w:cs="Times New Roman"/>
          <w:b/>
          <w:sz w:val="24"/>
          <w:szCs w:val="24"/>
        </w:rPr>
        <w:t>dove</w:t>
      </w:r>
      <w:r w:rsidR="00D057D4">
        <w:rPr>
          <w:rFonts w:ascii="Times New Roman" w:hAnsi="Times New Roman" w:cs="Times New Roman"/>
          <w:sz w:val="24"/>
          <w:szCs w:val="24"/>
        </w:rPr>
        <w:t xml:space="preserve"> andremo).</w:t>
      </w:r>
    </w:p>
    <w:p w:rsidR="00D057D4" w:rsidRDefault="00D057D4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7D4" w:rsidRDefault="00D057D4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64CC" wp14:editId="4A04B9F4">
                <wp:simplePos x="0" y="0"/>
                <wp:positionH relativeFrom="column">
                  <wp:posOffset>1765935</wp:posOffset>
                </wp:positionH>
                <wp:positionV relativeFrom="paragraph">
                  <wp:posOffset>193040</wp:posOffset>
                </wp:positionV>
                <wp:extent cx="495300" cy="371475"/>
                <wp:effectExtent l="38100" t="0" r="19050" b="4762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39.05pt;margin-top:15.2pt;width:39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AF542" wp14:editId="6D3FE6AD">
                <wp:simplePos x="0" y="0"/>
                <wp:positionH relativeFrom="column">
                  <wp:posOffset>3499486</wp:posOffset>
                </wp:positionH>
                <wp:positionV relativeFrom="paragraph">
                  <wp:posOffset>240665</wp:posOffset>
                </wp:positionV>
                <wp:extent cx="571499" cy="219075"/>
                <wp:effectExtent l="0" t="0" r="76835" b="6667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99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2" o:spid="_x0000_s1026" type="#_x0000_t32" style="position:absolute;margin-left:275.55pt;margin-top:18.95pt;width:4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Le subordinate possono avere </w:t>
      </w:r>
      <w:r w:rsidRPr="00D057D4">
        <w:rPr>
          <w:rFonts w:ascii="Times New Roman" w:hAnsi="Times New Roman" w:cs="Times New Roman"/>
          <w:b/>
          <w:sz w:val="24"/>
          <w:szCs w:val="24"/>
        </w:rPr>
        <w:t>forma esplicita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057D4">
        <w:rPr>
          <w:rFonts w:ascii="Times New Roman" w:hAnsi="Times New Roman" w:cs="Times New Roman"/>
          <w:b/>
          <w:sz w:val="24"/>
          <w:szCs w:val="24"/>
        </w:rPr>
        <w:t>forma implicita</w:t>
      </w:r>
      <w:r w:rsidR="00015329">
        <w:rPr>
          <w:rFonts w:ascii="Times New Roman" w:hAnsi="Times New Roman" w:cs="Times New Roman"/>
          <w:sz w:val="24"/>
          <w:szCs w:val="24"/>
        </w:rPr>
        <w:t xml:space="preserve"> (p. 692)</w:t>
      </w:r>
    </w:p>
    <w:p w:rsidR="008529B8" w:rsidRDefault="008529B8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329" w:rsidRDefault="00015329" w:rsidP="00015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Contengono un verbo di modo finito: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Contengono un verbo di modo indefinito:</w:t>
      </w:r>
      <w:r>
        <w:rPr>
          <w:rFonts w:ascii="Times New Roman" w:hAnsi="Times New Roman" w:cs="Times New Roman"/>
          <w:sz w:val="24"/>
          <w:szCs w:val="24"/>
        </w:rPr>
        <w:br/>
        <w:t>indicativo, congiuntivo, condizionale.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infinito, participio, gerundio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015329" w:rsidRDefault="00015329" w:rsidP="00015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Esempi: Continua a insistere / nonostante </w:t>
      </w:r>
      <w:r w:rsidRPr="00015329">
        <w:rPr>
          <w:rFonts w:ascii="Times New Roman" w:hAnsi="Times New Roman" w:cs="Times New Roman"/>
          <w:b/>
          <w:sz w:val="24"/>
          <w:szCs w:val="24"/>
        </w:rPr>
        <w:t>abbia</w:t>
      </w:r>
      <w:r>
        <w:rPr>
          <w:rFonts w:ascii="Times New Roman" w:hAnsi="Times New Roman" w:cs="Times New Roman"/>
          <w:sz w:val="24"/>
          <w:szCs w:val="24"/>
        </w:rPr>
        <w:t xml:space="preserve"> torto.</w:t>
      </w:r>
    </w:p>
    <w:p w:rsidR="00015329" w:rsidRDefault="00015329" w:rsidP="00015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Carlo spera /che </w:t>
      </w:r>
      <w:r w:rsidRPr="00015329">
        <w:rPr>
          <w:rFonts w:ascii="Times New Roman" w:hAnsi="Times New Roman" w:cs="Times New Roman"/>
          <w:b/>
          <w:sz w:val="24"/>
          <w:szCs w:val="24"/>
        </w:rPr>
        <w:t>riusciranno</w:t>
      </w:r>
      <w:r>
        <w:rPr>
          <w:rFonts w:ascii="Times New Roman" w:hAnsi="Times New Roman" w:cs="Times New Roman"/>
          <w:sz w:val="24"/>
          <w:szCs w:val="24"/>
        </w:rPr>
        <w:t xml:space="preserve"> a partire domani.</w:t>
      </w:r>
    </w:p>
    <w:p w:rsidR="00015329" w:rsidRDefault="00015329" w:rsidP="000153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nonno è andato / a </w:t>
      </w:r>
      <w:r w:rsidRPr="00015329">
        <w:rPr>
          <w:rFonts w:ascii="Times New Roman" w:hAnsi="Times New Roman" w:cs="Times New Roman"/>
          <w:b/>
          <w:sz w:val="24"/>
          <w:szCs w:val="24"/>
        </w:rPr>
        <w:t>fare</w:t>
      </w:r>
      <w:r>
        <w:rPr>
          <w:rFonts w:ascii="Times New Roman" w:hAnsi="Times New Roman" w:cs="Times New Roman"/>
          <w:sz w:val="24"/>
          <w:szCs w:val="24"/>
        </w:rPr>
        <w:t xml:space="preserve"> una passeggiata.</w:t>
      </w:r>
    </w:p>
    <w:p w:rsidR="00015329" w:rsidRDefault="00015329" w:rsidP="000153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5329">
        <w:rPr>
          <w:rFonts w:ascii="Times New Roman" w:hAnsi="Times New Roman" w:cs="Times New Roman"/>
          <w:b/>
          <w:sz w:val="24"/>
          <w:szCs w:val="24"/>
        </w:rPr>
        <w:t>Finito</w:t>
      </w:r>
      <w:r>
        <w:rPr>
          <w:rFonts w:ascii="Times New Roman" w:hAnsi="Times New Roman" w:cs="Times New Roman"/>
          <w:sz w:val="24"/>
          <w:szCs w:val="24"/>
        </w:rPr>
        <w:t xml:space="preserve"> di studiare / siamo andati al cinema.</w:t>
      </w:r>
    </w:p>
    <w:p w:rsidR="009B0796" w:rsidRDefault="009B0796" w:rsidP="009B0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0796" w:rsidRDefault="009B0796" w:rsidP="009B0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gradi della subordinazione e legami di coordinazione e subordinazione vedi p. 693</w:t>
      </w:r>
    </w:p>
    <w:p w:rsidR="00FB0CC6" w:rsidRDefault="00FB0CC6" w:rsidP="009B07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796" w:rsidRPr="00FB0CC6" w:rsidRDefault="00FB0CC6" w:rsidP="009B07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Compiti</w:t>
      </w:r>
      <w:r w:rsidR="001C2B60">
        <w:rPr>
          <w:rFonts w:ascii="Times New Roman" w:hAnsi="Times New Roman" w:cs="Times New Roman"/>
          <w:b/>
          <w:sz w:val="24"/>
          <w:szCs w:val="24"/>
        </w:rPr>
        <w:t xml:space="preserve"> per venerdì 13</w:t>
      </w:r>
    </w:p>
    <w:p w:rsidR="009B0796" w:rsidRDefault="009B0796" w:rsidP="009B0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Esercizi p. 697 n. 3, 4, 7, 9, 11, 12.</w:t>
      </w:r>
      <w:r w:rsidR="00FB0CC6">
        <w:rPr>
          <w:rFonts w:ascii="Times New Roman" w:hAnsi="Times New Roman" w:cs="Times New Roman"/>
          <w:sz w:val="24"/>
          <w:szCs w:val="24"/>
        </w:rPr>
        <w:t xml:space="preserve"> Studiare bene da p. 688 a 693. Analisi logica delle seguenti frasi:</w:t>
      </w:r>
    </w:p>
    <w:p w:rsidR="00FB0CC6" w:rsidRDefault="00FB0CC6" w:rsidP="009B0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Ieri Giorgio è stato eletto presidente dall’assemblea dei consiglieri.</w:t>
      </w:r>
    </w:p>
    <w:p w:rsidR="00FB0CC6" w:rsidRDefault="00FB0CC6" w:rsidP="009B0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Hanno parlato a lungo dell’influenza che li ha colpiti.</w:t>
      </w:r>
    </w:p>
    <w:p w:rsidR="00FB0CC6" w:rsidRDefault="00FB0CC6" w:rsidP="009B0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Anna ha preparato una torta con le fragole per il suo compleanno</w:t>
      </w:r>
    </w:p>
    <w:p w:rsidR="00781613" w:rsidRDefault="00781613" w:rsidP="009B0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C61" w:rsidRDefault="00FB0CC6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Prossimamente verifica su ripasso analisi logica e analisi del periodo (con esercizi e frasi simili a quelli che vi sto dando)</w:t>
      </w:r>
      <w:bookmarkStart w:id="0" w:name="_GoBack"/>
      <w:bookmarkEnd w:id="0"/>
    </w:p>
    <w:p w:rsidR="00C530C0" w:rsidRDefault="00C530C0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0C0" w:rsidRDefault="00C530C0" w:rsidP="00950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LETTERATURA</w:t>
      </w:r>
    </w:p>
    <w:p w:rsidR="00C530C0" w:rsidRDefault="00176E62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famosa “notte degli imbrogli” i bravi spediti da don Rodrigo a rapire Lucia non la trovano in casa, perché questa si è recata con Renzo alla casa di don Abbondio, cercando di ottenere con un imbroglio il matrimonio. Al ritorno dal fallito tentativo, i giovani apprendono della minaccia scampata, e decidono su consiglio di fra Cristoforo di abbandonare il paese: Lucia si recherà a Monza e Renzo dovrà partire per Milano, diretto al convento dei Cappuccini. Con la celebre pagina dell’</w:t>
      </w:r>
      <w:r w:rsidRPr="00176E62">
        <w:rPr>
          <w:rFonts w:ascii="Times New Roman" w:hAnsi="Times New Roman" w:cs="Times New Roman"/>
          <w:i/>
          <w:sz w:val="24"/>
          <w:szCs w:val="24"/>
        </w:rPr>
        <w:t xml:space="preserve">Addio ai monti </w:t>
      </w:r>
      <w:r>
        <w:rPr>
          <w:rFonts w:ascii="Times New Roman" w:hAnsi="Times New Roman" w:cs="Times New Roman"/>
          <w:sz w:val="24"/>
          <w:szCs w:val="24"/>
        </w:rPr>
        <w:t>si chiude</w:t>
      </w:r>
      <w:r w:rsidR="005B47A9">
        <w:rPr>
          <w:rFonts w:ascii="Times New Roman" w:hAnsi="Times New Roman" w:cs="Times New Roman"/>
          <w:sz w:val="24"/>
          <w:szCs w:val="24"/>
        </w:rPr>
        <w:t xml:space="preserve"> la prima parte comune ai due protagonisti, le cui vicende saranno d’ora in avanti separate, e intrecciati a eventi storici di portata grandiosa e collettiva: la guerra, la carestia e la peste.</w:t>
      </w:r>
      <w:r w:rsidR="005B47A9">
        <w:rPr>
          <w:rFonts w:ascii="Times New Roman" w:hAnsi="Times New Roman" w:cs="Times New Roman"/>
          <w:sz w:val="24"/>
          <w:szCs w:val="24"/>
        </w:rPr>
        <w:br/>
        <w:t xml:space="preserve">Lucia viene ospitata in un convento la cui badessa, Gertrude, ha un amante, Egidio, che è compagno di scelleratezze di un temibile brigante, a cui don Rodrigo chiede aiuto per rapire Lucia. Manzoni non riferisce il nome di questo pericoloso criminale, che quindi viene definito </w:t>
      </w:r>
      <w:r w:rsidR="005B47A9" w:rsidRPr="005B47A9">
        <w:rPr>
          <w:rFonts w:ascii="Times New Roman" w:hAnsi="Times New Roman" w:cs="Times New Roman"/>
          <w:i/>
          <w:sz w:val="24"/>
          <w:szCs w:val="24"/>
        </w:rPr>
        <w:t>l’Innominato</w:t>
      </w:r>
      <w:r w:rsidR="005B47A9">
        <w:rPr>
          <w:rFonts w:ascii="Times New Roman" w:hAnsi="Times New Roman" w:cs="Times New Roman"/>
          <w:sz w:val="24"/>
          <w:szCs w:val="24"/>
        </w:rPr>
        <w:t>.</w:t>
      </w:r>
    </w:p>
    <w:p w:rsidR="005B47A9" w:rsidRDefault="005B47A9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viene portata al castello dell’Innominato.</w:t>
      </w:r>
    </w:p>
    <w:p w:rsidR="001C2B60" w:rsidRDefault="001C2B60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B60" w:rsidRDefault="001C2B60" w:rsidP="00950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B60">
        <w:rPr>
          <w:rFonts w:ascii="Times New Roman" w:hAnsi="Times New Roman" w:cs="Times New Roman"/>
          <w:b/>
          <w:sz w:val="24"/>
          <w:szCs w:val="24"/>
        </w:rPr>
        <w:t>Compito per giovedì 12</w:t>
      </w:r>
    </w:p>
    <w:p w:rsidR="001C2B60" w:rsidRDefault="001C2B60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Leggere con attenzione il brano alle pp. 189-191. </w:t>
      </w:r>
    </w:p>
    <w:p w:rsidR="001C2B60" w:rsidRDefault="001C2B60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Prestare particolare attenzione alla descrizione dell’Innominato e del luogo in cui vive, che è il rilesso del suo animo ostile e aspro. Provate anche a sottolineare nel testo le espressioni che si riferiscono a questi aspetti. </w:t>
      </w:r>
    </w:p>
    <w:p w:rsidR="001C2B60" w:rsidRDefault="001C2B60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comprensione del testo, aiutatevi con le note in fondo.</w:t>
      </w:r>
    </w:p>
    <w:p w:rsidR="001C2B60" w:rsidRPr="001C2B60" w:rsidRDefault="001C2B60" w:rsidP="00950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Svolgere gli esercizi dall’1 al 9</w:t>
      </w:r>
      <w:r w:rsidR="005362EC">
        <w:rPr>
          <w:rFonts w:ascii="Times New Roman" w:hAnsi="Times New Roman" w:cs="Times New Roman"/>
          <w:sz w:val="24"/>
          <w:szCs w:val="24"/>
        </w:rPr>
        <w:t>.</w:t>
      </w:r>
    </w:p>
    <w:p w:rsidR="004D7A08" w:rsidRPr="00D73A2B" w:rsidRDefault="004D7A08" w:rsidP="00D73A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D7A08" w:rsidRPr="00D73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342"/>
    <w:multiLevelType w:val="hybridMultilevel"/>
    <w:tmpl w:val="1BF0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B"/>
    <w:rsid w:val="00015329"/>
    <w:rsid w:val="000271A1"/>
    <w:rsid w:val="00176E62"/>
    <w:rsid w:val="001C2B60"/>
    <w:rsid w:val="004D7A08"/>
    <w:rsid w:val="005362EC"/>
    <w:rsid w:val="005B47A9"/>
    <w:rsid w:val="006558E2"/>
    <w:rsid w:val="00781613"/>
    <w:rsid w:val="008529B8"/>
    <w:rsid w:val="00950C61"/>
    <w:rsid w:val="009B0796"/>
    <w:rsid w:val="00C530C0"/>
    <w:rsid w:val="00D057D4"/>
    <w:rsid w:val="00D73A2B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6</cp:revision>
  <dcterms:created xsi:type="dcterms:W3CDTF">2020-03-10T21:03:00Z</dcterms:created>
  <dcterms:modified xsi:type="dcterms:W3CDTF">2020-03-11T11:07:00Z</dcterms:modified>
</cp:coreProperties>
</file>