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Pr="00734779" w:rsidRDefault="00734779">
      <w:pPr>
        <w:rPr>
          <w:b/>
          <w:bCs/>
        </w:rPr>
      </w:pPr>
      <w:r w:rsidRPr="00734779">
        <w:rPr>
          <w:b/>
          <w:bCs/>
        </w:rPr>
        <w:t xml:space="preserve">STORIA - SINTESI della </w:t>
      </w:r>
      <w:proofErr w:type="spellStart"/>
      <w:r w:rsidRPr="00734779">
        <w:rPr>
          <w:b/>
          <w:bCs/>
        </w:rPr>
        <w:t>videolezione</w:t>
      </w:r>
      <w:proofErr w:type="spellEnd"/>
      <w:r w:rsidRPr="00734779">
        <w:rPr>
          <w:b/>
          <w:bCs/>
        </w:rPr>
        <w:t xml:space="preserve"> del 16/3, ore 12.00:</w:t>
      </w:r>
    </w:p>
    <w:p w:rsidR="00286B1A" w:rsidRDefault="00734779" w:rsidP="00286B1A">
      <w:pPr>
        <w:rPr>
          <w:b/>
          <w:bCs/>
        </w:rPr>
      </w:pPr>
      <w:r w:rsidRPr="00734779">
        <w:rPr>
          <w:b/>
          <w:bCs/>
        </w:rPr>
        <w:t>“Il teatro elisabettiano e William Shakespeare” (pag. 118-119), “Don Chisciotte</w:t>
      </w:r>
      <w:r w:rsidR="009C4B8E">
        <w:rPr>
          <w:b/>
          <w:bCs/>
        </w:rPr>
        <w:t>”</w:t>
      </w:r>
      <w:r w:rsidRPr="00734779">
        <w:rPr>
          <w:b/>
          <w:bCs/>
        </w:rPr>
        <w:t xml:space="preserve"> di Miguel de Cervantes (152-153), “L’Olanda in ascesa” (pag. 154-155).</w:t>
      </w:r>
      <w:r>
        <w:rPr>
          <w:b/>
          <w:bCs/>
        </w:rPr>
        <w:t xml:space="preserve"> Prof.</w:t>
      </w:r>
      <w:r w:rsidR="003C599A">
        <w:rPr>
          <w:b/>
          <w:bCs/>
        </w:rPr>
        <w:t>ssa</w:t>
      </w:r>
      <w:r>
        <w:rPr>
          <w:b/>
          <w:bCs/>
        </w:rPr>
        <w:t xml:space="preserve"> Laura Maiocchi</w:t>
      </w:r>
    </w:p>
    <w:p w:rsidR="00286B1A" w:rsidRDefault="00286B1A" w:rsidP="00286B1A">
      <w:pPr>
        <w:rPr>
          <w:b/>
          <w:bCs/>
        </w:rPr>
      </w:pPr>
    </w:p>
    <w:p w:rsidR="00050E88" w:rsidRPr="00286B1A" w:rsidRDefault="00050E88" w:rsidP="00286B1A">
      <w:pPr>
        <w:pStyle w:val="Paragrafoelenco"/>
        <w:numPr>
          <w:ilvl w:val="0"/>
          <w:numId w:val="4"/>
        </w:numPr>
        <w:rPr>
          <w:b/>
          <w:bCs/>
        </w:rPr>
      </w:pPr>
      <w:r>
        <w:t xml:space="preserve">Pag. 117: il lungo </w:t>
      </w:r>
      <w:r w:rsidRPr="00286B1A">
        <w:rPr>
          <w:b/>
          <w:bCs/>
        </w:rPr>
        <w:t>regno di Elisabetta I</w:t>
      </w:r>
      <w:r>
        <w:t xml:space="preserve"> (1558-1603)</w:t>
      </w:r>
    </w:p>
    <w:p w:rsidR="00050E88" w:rsidRDefault="00D1184C" w:rsidP="00050E88">
      <w:pPr>
        <w:pStyle w:val="Paragrafoelenco"/>
      </w:pPr>
      <w:r>
        <w:t xml:space="preserve">* </w:t>
      </w:r>
      <w:r w:rsidR="00050E88">
        <w:t>Sviluppo &gt; allevamento ovino &gt; produzione di lana e manufatti tessili;</w:t>
      </w:r>
    </w:p>
    <w:p w:rsidR="00050E88" w:rsidRDefault="00050E88" w:rsidP="00050E88">
      <w:pPr>
        <w:pStyle w:val="Paragrafoelenco"/>
      </w:pPr>
      <w:r>
        <w:tab/>
        <w:t xml:space="preserve">    &gt; commercio con Paesi Bassi, Scandinavia, Russia + basi navali nel Mediterraneo </w:t>
      </w:r>
      <w:r>
        <w:tab/>
        <w:t>orientale;</w:t>
      </w:r>
    </w:p>
    <w:p w:rsidR="00050E88" w:rsidRDefault="00050E88" w:rsidP="00050E88">
      <w:pPr>
        <w:pStyle w:val="Paragrafoelenco"/>
      </w:pPr>
      <w:r>
        <w:tab/>
        <w:t xml:space="preserve">    &gt; attività di “esplorazione” in America settentrionale &gt; nel 1607 prima colonia </w:t>
      </w:r>
      <w:r>
        <w:tab/>
        <w:t>inglese: Virginia, in onore della regina.</w:t>
      </w:r>
    </w:p>
    <w:p w:rsidR="00050E88" w:rsidRDefault="00D1184C" w:rsidP="00050E88">
      <w:pPr>
        <w:pStyle w:val="Paragrafoelenco"/>
      </w:pPr>
      <w:r>
        <w:t xml:space="preserve">* </w:t>
      </w:r>
      <w:r w:rsidR="00B0758C">
        <w:t>Vittoria sulla Spagna</w:t>
      </w:r>
    </w:p>
    <w:p w:rsidR="00B0758C" w:rsidRDefault="00D1184C" w:rsidP="00050E88">
      <w:pPr>
        <w:pStyle w:val="Paragrafoelenco"/>
      </w:pPr>
      <w:r>
        <w:t xml:space="preserve">* </w:t>
      </w:r>
      <w:r w:rsidR="00B0758C">
        <w:t xml:space="preserve">Problemi negli ultimi anni: ribellione nell’Irlanda cattolica (controllata), congiure </w:t>
      </w:r>
      <w:r>
        <w:tab/>
      </w:r>
      <w:r w:rsidR="00B0758C">
        <w:t>(eliminate).</w:t>
      </w:r>
    </w:p>
    <w:p w:rsidR="00B0758C" w:rsidRDefault="00B0758C" w:rsidP="00050E88">
      <w:pPr>
        <w:pStyle w:val="Paragrafoelenco"/>
      </w:pPr>
    </w:p>
    <w:p w:rsidR="00C862AA" w:rsidRDefault="00C862AA" w:rsidP="00050E88">
      <w:pPr>
        <w:pStyle w:val="Paragrafoelenco"/>
      </w:pPr>
      <w:r>
        <w:t>Pag. 118-119.</w:t>
      </w:r>
    </w:p>
    <w:p w:rsidR="00B0758C" w:rsidRDefault="00A56B2D" w:rsidP="00050E88">
      <w:pPr>
        <w:pStyle w:val="Paragrafoelenco"/>
      </w:pPr>
      <w:r>
        <w:t xml:space="preserve">* </w:t>
      </w:r>
      <w:r w:rsidR="00B0758C">
        <w:t xml:space="preserve">Soprattutto la </w:t>
      </w:r>
      <w:r w:rsidR="00B0758C">
        <w:rPr>
          <w:u w:val="single"/>
        </w:rPr>
        <w:t>cultura inglese</w:t>
      </w:r>
      <w:r w:rsidR="00B0758C">
        <w:t xml:space="preserve"> diventa importante, soprattutto nel </w:t>
      </w:r>
      <w:r w:rsidR="00B0758C" w:rsidRPr="000622B5">
        <w:rPr>
          <w:b/>
          <w:bCs/>
        </w:rPr>
        <w:t>TEATRO</w:t>
      </w:r>
      <w:r w:rsidR="00B0758C">
        <w:t>.</w:t>
      </w:r>
    </w:p>
    <w:p w:rsidR="00B0758C" w:rsidRDefault="000622B5" w:rsidP="00050E88">
      <w:pPr>
        <w:pStyle w:val="Paragrafoelenco"/>
      </w:pPr>
      <w:r>
        <w:t xml:space="preserve">In Europa: </w:t>
      </w:r>
    </w:p>
    <w:p w:rsidR="000622B5" w:rsidRDefault="000622B5" w:rsidP="00050E88">
      <w:pPr>
        <w:pStyle w:val="Paragrafoelenco"/>
      </w:pPr>
      <w:r>
        <w:t xml:space="preserve">&gt; teatro </w:t>
      </w:r>
      <w:r w:rsidRPr="000622B5">
        <w:rPr>
          <w:u w:val="single"/>
        </w:rPr>
        <w:t>in Italia</w:t>
      </w:r>
      <w:r>
        <w:t xml:space="preserve">: dal periodo dell’Umanesimo/Rinascimento riscoperta del </w:t>
      </w:r>
      <w:r w:rsidRPr="000622B5">
        <w:rPr>
          <w:b/>
          <w:bCs/>
        </w:rPr>
        <w:t>teatro classico</w:t>
      </w:r>
      <w:r>
        <w:t xml:space="preserve"> (greco e latino) con adattamenti per un pubblico colto, di élite;</w:t>
      </w:r>
    </w:p>
    <w:p w:rsidR="000622B5" w:rsidRDefault="000622B5" w:rsidP="00050E88">
      <w:pPr>
        <w:pStyle w:val="Paragrafoelenco"/>
      </w:pPr>
      <w:r>
        <w:t>&gt; nel resto dell’</w:t>
      </w:r>
      <w:r w:rsidRPr="000622B5">
        <w:rPr>
          <w:u w:val="single"/>
        </w:rPr>
        <w:t>Europa</w:t>
      </w:r>
      <w:r>
        <w:t xml:space="preserve">: forme medievali: spettacoli di carattere </w:t>
      </w:r>
      <w:r w:rsidRPr="000622B5">
        <w:rPr>
          <w:b/>
          <w:bCs/>
        </w:rPr>
        <w:t>popolare</w:t>
      </w:r>
      <w:r>
        <w:t>;</w:t>
      </w:r>
    </w:p>
    <w:p w:rsidR="00050E88" w:rsidRDefault="000622B5" w:rsidP="00050E88">
      <w:pPr>
        <w:pStyle w:val="Paragrafoelenco"/>
      </w:pPr>
      <w:r>
        <w:t xml:space="preserve">&gt; in </w:t>
      </w:r>
      <w:r w:rsidRPr="000622B5">
        <w:rPr>
          <w:u w:val="single"/>
        </w:rPr>
        <w:t>Inghilterra</w:t>
      </w:r>
      <w:r>
        <w:t xml:space="preserve">: molti teatri, perché </w:t>
      </w:r>
      <w:r w:rsidRPr="000622B5">
        <w:rPr>
          <w:u w:val="single"/>
        </w:rPr>
        <w:t>frequentati da diversi ceti sociali</w:t>
      </w:r>
      <w:r>
        <w:t xml:space="preserve">: a Londra nel ‘500 e ‘600 il 10-15% della popolazione andava a teatro almeno una volta a settimana; per questo motivi i </w:t>
      </w:r>
      <w:r w:rsidRPr="000622B5">
        <w:rPr>
          <w:b/>
          <w:bCs/>
        </w:rPr>
        <w:t>temi e il linguaggio degli spettacoli erano adatti a tutti</w:t>
      </w:r>
      <w:r>
        <w:t>.</w:t>
      </w:r>
      <w:r w:rsidR="00CD48ED">
        <w:t xml:space="preserve"> Quindi anche molte compagnie teatrali. </w:t>
      </w:r>
      <w:r w:rsidR="00CD48ED" w:rsidRPr="00CD48ED">
        <w:rPr>
          <w:b/>
          <w:bCs/>
        </w:rPr>
        <w:t>Tra gli attori: William Shakespeare, poi grandissimo autore</w:t>
      </w:r>
      <w:r w:rsidR="00CD48ED">
        <w:t>.</w:t>
      </w:r>
      <w:r w:rsidR="00566799">
        <w:t xml:space="preserve"> (Invito tutti a leggere in italiano la tragedia “Romeo e Giulietta</w:t>
      </w:r>
      <w:r w:rsidR="00F85718">
        <w:t>”</w:t>
      </w:r>
      <w:r w:rsidR="00566799">
        <w:t>).</w:t>
      </w:r>
    </w:p>
    <w:p w:rsidR="00F85718" w:rsidRDefault="00F85718" w:rsidP="00050E88">
      <w:pPr>
        <w:pStyle w:val="Paragrafoelenco"/>
      </w:pPr>
    </w:p>
    <w:p w:rsidR="00F85718" w:rsidRDefault="00F85718" w:rsidP="00050E88">
      <w:pPr>
        <w:pStyle w:val="Paragrafoelenco"/>
      </w:pPr>
      <w:r>
        <w:t xml:space="preserve">A Londra il </w:t>
      </w:r>
      <w:r w:rsidRPr="00920AE8">
        <w:rPr>
          <w:b/>
          <w:bCs/>
        </w:rPr>
        <w:t>Globe</w:t>
      </w:r>
      <w:r>
        <w:t>:</w:t>
      </w:r>
    </w:p>
    <w:p w:rsidR="00F85718" w:rsidRDefault="00F85718" w:rsidP="00050E88">
      <w:pPr>
        <w:pStyle w:val="Paragrafoelenco"/>
      </w:pPr>
      <w:r>
        <w:t>- struttura circolare, alta fino a tre piani, aperta al centro;</w:t>
      </w:r>
    </w:p>
    <w:p w:rsidR="00F85718" w:rsidRDefault="00F85718" w:rsidP="00050E88">
      <w:pPr>
        <w:pStyle w:val="Paragrafoelenco"/>
      </w:pPr>
      <w:r>
        <w:t>- nell’arena centrale: palcoscenico &gt; gli attori erano in mezzo al pubblico &gt; interazione tra attori e pubblico;</w:t>
      </w:r>
    </w:p>
    <w:p w:rsidR="00F85718" w:rsidRDefault="00F85718" w:rsidP="00050E88">
      <w:pPr>
        <w:pStyle w:val="Paragrafoelenco"/>
      </w:pPr>
      <w:r>
        <w:t>- in fondo: ingresso per attori e musicisti;</w:t>
      </w:r>
    </w:p>
    <w:p w:rsidR="00F85718" w:rsidRDefault="00F85718" w:rsidP="00050E88">
      <w:pPr>
        <w:pStyle w:val="Paragrafoelenco"/>
      </w:pPr>
      <w:r>
        <w:t>- balconata: per scene come il dialogo tra Romeo e Giulietta;</w:t>
      </w:r>
    </w:p>
    <w:p w:rsidR="00F85718" w:rsidRDefault="00F85718" w:rsidP="00050E88">
      <w:pPr>
        <w:pStyle w:val="Paragrafoelenco"/>
      </w:pPr>
      <w:r>
        <w:t>- no effetti speciali: teatro povero;</w:t>
      </w:r>
    </w:p>
    <w:p w:rsidR="00F85718" w:rsidRDefault="00F85718" w:rsidP="00050E88">
      <w:pPr>
        <w:pStyle w:val="Paragrafoelenco"/>
      </w:pPr>
      <w:r>
        <w:t xml:space="preserve">- </w:t>
      </w:r>
      <w:r w:rsidRPr="00920AE8">
        <w:rPr>
          <w:b/>
          <w:bCs/>
        </w:rPr>
        <w:t>SHAKESPEARE</w:t>
      </w:r>
      <w:r>
        <w:t xml:space="preserve"> vi fa le sue rappresentazioni e usa lo spazio del teatro in modo originale: riesce a mettere in scena contemporaneamente sia la nobiltà e il linguaggio della tragedia (</w:t>
      </w:r>
      <w:proofErr w:type="spellStart"/>
      <w:r>
        <w:t>rif</w:t>
      </w:r>
      <w:proofErr w:type="spellEnd"/>
      <w:r>
        <w:t>: a teatro classico), sia il mondo popolare e il linguaggio della commedia (</w:t>
      </w:r>
      <w:proofErr w:type="spellStart"/>
      <w:r>
        <w:t>rif</w:t>
      </w:r>
      <w:proofErr w:type="spellEnd"/>
      <w:r>
        <w:t xml:space="preserve">: a teatro classico e a quello medievale). </w:t>
      </w:r>
      <w:r w:rsidR="00221955" w:rsidRPr="00221955">
        <w:rPr>
          <w:u w:val="single"/>
        </w:rPr>
        <w:t>Usa</w:t>
      </w:r>
      <w:r w:rsidR="00221955">
        <w:rPr>
          <w:u w:val="single"/>
        </w:rPr>
        <w:t xml:space="preserve"> anche</w:t>
      </w:r>
      <w:r w:rsidR="00221955" w:rsidRPr="00221955">
        <w:rPr>
          <w:u w:val="single"/>
        </w:rPr>
        <w:t xml:space="preserve"> l’improvvisazione</w:t>
      </w:r>
      <w:r w:rsidR="00221955">
        <w:t xml:space="preserve">. </w:t>
      </w:r>
      <w:r>
        <w:t>Straordinario!</w:t>
      </w:r>
    </w:p>
    <w:p w:rsidR="00C862AA" w:rsidRDefault="00C862AA" w:rsidP="00050E88">
      <w:pPr>
        <w:pStyle w:val="Paragrafoelenco"/>
      </w:pPr>
    </w:p>
    <w:p w:rsidR="00C862AA" w:rsidRPr="00DA10A6" w:rsidRDefault="00DA10A6" w:rsidP="00C862AA">
      <w:pPr>
        <w:pStyle w:val="Paragrafoelenco"/>
        <w:numPr>
          <w:ilvl w:val="0"/>
          <w:numId w:val="4"/>
        </w:numPr>
        <w:rPr>
          <w:b/>
          <w:bCs/>
        </w:rPr>
      </w:pPr>
      <w:r>
        <w:t>Pag. 152-153.</w:t>
      </w:r>
    </w:p>
    <w:p w:rsidR="00DA10A6" w:rsidRDefault="00BA3F15" w:rsidP="00DA10A6">
      <w:pPr>
        <w:pStyle w:val="Paragrafoelenco"/>
      </w:pPr>
      <w:r>
        <w:t xml:space="preserve">Il </w:t>
      </w:r>
      <w:r w:rsidRPr="00E11873">
        <w:rPr>
          <w:b/>
          <w:bCs/>
        </w:rPr>
        <w:t>“Don Chisciotte” di Miguel de Cervantes</w:t>
      </w:r>
      <w:r>
        <w:t xml:space="preserve"> (scritto 1605-1615):</w:t>
      </w:r>
    </w:p>
    <w:p w:rsidR="00BA3F15" w:rsidRDefault="00BA3F15" w:rsidP="00DA10A6">
      <w:pPr>
        <w:pStyle w:val="Paragrafoelenco"/>
      </w:pPr>
      <w:r>
        <w:t>&gt; protagonista un nobile, grande lettore, che diventa incapace di distinguere tra finzione e realtà; lascia la sua casa per diventare un cavaliere errante che compie assurde avventure;</w:t>
      </w:r>
    </w:p>
    <w:p w:rsidR="00BA3F15" w:rsidRDefault="00BA3F15" w:rsidP="00DA10A6">
      <w:pPr>
        <w:pStyle w:val="Paragrafoelenco"/>
      </w:pPr>
      <w:r>
        <w:t>&gt; figura comica e tragica insieme: simbolo del fallimento dei dirigenti spagnoli, dei sovrani di Spagna, di fronte all’imponente crisi economica e sociale del 1600.</w:t>
      </w:r>
    </w:p>
    <w:p w:rsidR="00BA3F15" w:rsidRDefault="00BA3F15" w:rsidP="00DA10A6">
      <w:pPr>
        <w:pStyle w:val="Paragrafoelenco"/>
      </w:pPr>
    </w:p>
    <w:p w:rsidR="00BA3F15" w:rsidRDefault="00BA3F15" w:rsidP="00DA10A6">
      <w:pPr>
        <w:pStyle w:val="Paragrafoelenco"/>
      </w:pPr>
      <w:r>
        <w:t xml:space="preserve">Non dimentichiamo lo </w:t>
      </w:r>
      <w:r w:rsidRPr="00E11873">
        <w:rPr>
          <w:b/>
          <w:bCs/>
        </w:rPr>
        <w:t>stretto rapporto politico tra Spagna e Italia</w:t>
      </w:r>
      <w:r>
        <w:t xml:space="preserve"> (</w:t>
      </w:r>
      <w:proofErr w:type="spellStart"/>
      <w:r>
        <w:t>ved</w:t>
      </w:r>
      <w:proofErr w:type="spellEnd"/>
      <w:r>
        <w:t>. Carta storica di pag. 151): Ducato di Milano (come racconta Alessandro Manzoni nei “Promessi Sposi</w:t>
      </w:r>
      <w:r w:rsidR="00CA67FC">
        <w:t>”</w:t>
      </w:r>
      <w:r>
        <w:t xml:space="preserve">, romanzo </w:t>
      </w:r>
      <w:r>
        <w:lastRenderedPageBreak/>
        <w:t>storico pubblicato nel 1840 ma ambiento nel Seicento), Italia meridionale, Sicilia e Sardegna: governati dagli Spagnoli</w:t>
      </w:r>
      <w:r w:rsidR="00E11873">
        <w:t>.</w:t>
      </w:r>
    </w:p>
    <w:p w:rsidR="00E11873" w:rsidRDefault="00E11873" w:rsidP="00DA10A6">
      <w:pPr>
        <w:pStyle w:val="Paragrafoelenco"/>
      </w:pPr>
      <w:r>
        <w:t>&gt; crescita demografica più lenta (</w:t>
      </w:r>
      <w:r w:rsidRPr="00081FFE">
        <w:rPr>
          <w:b/>
          <w:bCs/>
        </w:rPr>
        <w:t>carestie e epidemie</w:t>
      </w:r>
      <w:r>
        <w:t>);</w:t>
      </w:r>
    </w:p>
    <w:p w:rsidR="00E11873" w:rsidRDefault="00E11873" w:rsidP="00DA10A6">
      <w:pPr>
        <w:pStyle w:val="Paragrafoelenco"/>
      </w:pPr>
      <w:r>
        <w:t>&gt; guerre della Spagna &gt; forte dispendio di denaro e di uomini (“</w:t>
      </w:r>
      <w:r w:rsidRPr="00081FFE">
        <w:rPr>
          <w:b/>
          <w:bCs/>
        </w:rPr>
        <w:t>le guerre costano</w:t>
      </w:r>
      <w:r>
        <w:t xml:space="preserve">”) &gt; crisi economica: crisi produttiva (a fine Cinquecento la Spagna era </w:t>
      </w:r>
      <w:r w:rsidRPr="00E11873">
        <w:rPr>
          <w:i/>
          <w:iCs/>
        </w:rPr>
        <w:t>leader</w:t>
      </w:r>
      <w:r>
        <w:t xml:space="preserve"> politico e militare, non economico)</w:t>
      </w:r>
      <w:r w:rsidR="005E1DA3">
        <w:t>;</w:t>
      </w:r>
    </w:p>
    <w:p w:rsidR="005E1DA3" w:rsidRDefault="005E1DA3" w:rsidP="00DA10A6">
      <w:pPr>
        <w:pStyle w:val="Paragrafoelenco"/>
      </w:pPr>
      <w:r>
        <w:t>&gt; le ricchezze provenienti dalle colonie servivano per:</w:t>
      </w:r>
    </w:p>
    <w:p w:rsidR="005E1DA3" w:rsidRDefault="00081FFE" w:rsidP="00DA10A6">
      <w:pPr>
        <w:pStyle w:val="Paragrafoelenco"/>
      </w:pPr>
      <w:r>
        <w:t>- sostenere le spese di guerra</w:t>
      </w:r>
    </w:p>
    <w:p w:rsidR="00081FFE" w:rsidRDefault="00081FFE" w:rsidP="00DA10A6">
      <w:pPr>
        <w:pStyle w:val="Paragrafoelenco"/>
      </w:pPr>
      <w:r>
        <w:t>- acquistare prodotti agricoli e artigianali</w:t>
      </w:r>
    </w:p>
    <w:p w:rsidR="00081FFE" w:rsidRDefault="00081FFE" w:rsidP="00DA10A6">
      <w:pPr>
        <w:pStyle w:val="Paragrafoelenco"/>
      </w:pPr>
      <w:r>
        <w:t>&gt; poiché in Spagna c’erano molti “</w:t>
      </w:r>
      <w:proofErr w:type="spellStart"/>
      <w:r w:rsidRPr="00081FFE">
        <w:rPr>
          <w:u w:val="single"/>
        </w:rPr>
        <w:t>moriscos</w:t>
      </w:r>
      <w:proofErr w:type="spellEnd"/>
      <w:r>
        <w:t xml:space="preserve">”: nonostante non fossero più musulmani, ma cristiani, Filippo III li </w:t>
      </w:r>
      <w:r w:rsidRPr="00081FFE">
        <w:rPr>
          <w:u w:val="single"/>
        </w:rPr>
        <w:t>espulse</w:t>
      </w:r>
      <w:r>
        <w:t xml:space="preserve"> &gt; circa mezzo milione di contadini andarono nell’Africa settentrionale;</w:t>
      </w:r>
    </w:p>
    <w:p w:rsidR="00081FFE" w:rsidRDefault="00081FFE" w:rsidP="00DA10A6">
      <w:pPr>
        <w:pStyle w:val="Paragrafoelenco"/>
      </w:pPr>
      <w:r>
        <w:t xml:space="preserve">&gt; già erano stati </w:t>
      </w:r>
      <w:r w:rsidRPr="00081FFE">
        <w:rPr>
          <w:u w:val="single"/>
        </w:rPr>
        <w:t>espulsi gli ebrei</w:t>
      </w:r>
      <w:r>
        <w:t xml:space="preserve"> a fine 1400, che si dedicavano al commercio &gt; disprezzo per le attività produttive da parte del sovrano e della nobiltà.</w:t>
      </w:r>
    </w:p>
    <w:p w:rsidR="00D03958" w:rsidRDefault="00081FFE" w:rsidP="00DA10A6">
      <w:pPr>
        <w:pStyle w:val="Paragrafoelenco"/>
        <w:rPr>
          <w:b/>
          <w:bCs/>
        </w:rPr>
      </w:pPr>
      <w:r w:rsidRPr="00081FFE">
        <w:rPr>
          <w:b/>
          <w:bCs/>
        </w:rPr>
        <w:t>= meno agricoltura, meno commercio: crisi economica.</w:t>
      </w:r>
    </w:p>
    <w:p w:rsidR="00D03958" w:rsidRDefault="00D03958" w:rsidP="00DA10A6">
      <w:pPr>
        <w:pStyle w:val="Paragrafoelenco"/>
        <w:rPr>
          <w:b/>
          <w:bCs/>
        </w:rPr>
      </w:pPr>
    </w:p>
    <w:p w:rsidR="00D03958" w:rsidRPr="00D03958" w:rsidRDefault="00D03958" w:rsidP="00D03958">
      <w:pPr>
        <w:pStyle w:val="Paragrafoelenco"/>
        <w:numPr>
          <w:ilvl w:val="0"/>
          <w:numId w:val="4"/>
        </w:numPr>
      </w:pPr>
      <w:r>
        <w:rPr>
          <w:b/>
          <w:bCs/>
        </w:rPr>
        <w:t xml:space="preserve">Le nuove rotte commerciali isolano l’Italia </w:t>
      </w:r>
      <w:r w:rsidRPr="00D03958">
        <w:t>(pag. 153):</w:t>
      </w:r>
    </w:p>
    <w:p w:rsidR="00D03958" w:rsidRDefault="00D03958" w:rsidP="00D03958">
      <w:pPr>
        <w:pStyle w:val="Paragrafoelenco"/>
      </w:pPr>
      <w:r>
        <w:t>&gt; crisi delle manifatture italiane (oggetti di lusso),</w:t>
      </w:r>
    </w:p>
    <w:p w:rsidR="00D03958" w:rsidRDefault="00D03958" w:rsidP="00D03958">
      <w:pPr>
        <w:pStyle w:val="Paragrafoelenco"/>
      </w:pPr>
      <w:r>
        <w:t>&gt; diminuzione delle esportazioni:</w:t>
      </w:r>
    </w:p>
    <w:p w:rsidR="00D03958" w:rsidRDefault="00D03958" w:rsidP="00D03958">
      <w:pPr>
        <w:pStyle w:val="Paragrafoelenco"/>
      </w:pPr>
      <w:r>
        <w:t>- di grano, prodotto e raccolto nel Sul d’Italia</w:t>
      </w:r>
    </w:p>
    <w:p w:rsidR="00D03958" w:rsidRDefault="00D03958" w:rsidP="00D03958">
      <w:pPr>
        <w:pStyle w:val="Paragrafoelenco"/>
      </w:pPr>
      <w:r>
        <w:t>- di bachi da seta e quindi di seta, allevati e prodotta nel Nord (soprattutto nella zona di Como, ma non solo</w:t>
      </w:r>
      <w:r w:rsidR="00244FC4">
        <w:t>, comunque in Lombardia</w:t>
      </w:r>
      <w:r>
        <w:t>)</w:t>
      </w:r>
      <w:r w:rsidR="00244FC4">
        <w:t>.</w:t>
      </w:r>
    </w:p>
    <w:p w:rsidR="00244FC4" w:rsidRDefault="00244FC4" w:rsidP="00D03958">
      <w:pPr>
        <w:pStyle w:val="Paragrafoelenco"/>
      </w:pPr>
    </w:p>
    <w:p w:rsidR="00244FC4" w:rsidRDefault="00244FC4" w:rsidP="00D03958">
      <w:pPr>
        <w:pStyle w:val="Paragrafoelenco"/>
        <w:rPr>
          <w:b/>
          <w:bCs/>
        </w:rPr>
      </w:pPr>
      <w:r>
        <w:rPr>
          <w:b/>
          <w:bCs/>
        </w:rPr>
        <w:t>Al contrario della Spagna, nel Seicento sono in ascesa Olanda e Inghilterra.</w:t>
      </w:r>
    </w:p>
    <w:p w:rsidR="00244FC4" w:rsidRPr="00244FC4" w:rsidRDefault="00244FC4" w:rsidP="00D03958">
      <w:pPr>
        <w:pStyle w:val="Paragrafoelenco"/>
      </w:pPr>
      <w:r w:rsidRPr="00244FC4">
        <w:t>Pag. 154: Olanda (non dimentichiamo l’Indipendenza delle Fiandre, già studiata)</w:t>
      </w:r>
    </w:p>
    <w:p w:rsidR="00244FC4" w:rsidRDefault="00244FC4" w:rsidP="00D03958">
      <w:pPr>
        <w:pStyle w:val="Paragrafoelenco"/>
        <w:rPr>
          <w:b/>
          <w:bCs/>
        </w:rPr>
      </w:pPr>
    </w:p>
    <w:p w:rsidR="00244FC4" w:rsidRDefault="00EC4BE3" w:rsidP="00D03958">
      <w:pPr>
        <w:pStyle w:val="Paragrafoelenco"/>
        <w:rPr>
          <w:b/>
          <w:bCs/>
        </w:rPr>
      </w:pPr>
      <w:r>
        <w:rPr>
          <w:b/>
          <w:bCs/>
        </w:rPr>
        <w:t>Olanda:</w:t>
      </w:r>
    </w:p>
    <w:p w:rsidR="00EC4BE3" w:rsidRDefault="00EC4BE3" w:rsidP="00D03958">
      <w:pPr>
        <w:pStyle w:val="Paragrafoelenco"/>
      </w:pPr>
      <w:r>
        <w:t>&gt; flotta mercantile (= per i commerci) più importante d’Europa</w:t>
      </w:r>
    </w:p>
    <w:p w:rsidR="00EC4BE3" w:rsidRDefault="00EC4BE3" w:rsidP="00D03958">
      <w:pPr>
        <w:pStyle w:val="Paragrafoelenco"/>
      </w:pPr>
      <w:r>
        <w:tab/>
        <w:t xml:space="preserve">Nel 1500 Anversa (Belgio) era importantissima: punto di arrivo e smistamento delle </w:t>
      </w:r>
      <w:r>
        <w:tab/>
        <w:t>spezie (dalle colonie portoghesi), e di metalli preziosi (da colonie spagnole), ma con la divisione delle Fiandre;</w:t>
      </w:r>
    </w:p>
    <w:p w:rsidR="00EC4BE3" w:rsidRDefault="00EC4BE3" w:rsidP="00D03958">
      <w:pPr>
        <w:pStyle w:val="Paragrafoelenco"/>
      </w:pPr>
      <w:r>
        <w:t>&gt; nel 1600</w:t>
      </w:r>
      <w:r w:rsidR="007B0319">
        <w:t xml:space="preserve"> Amsterdam e Olanda diventano più importanti.</w:t>
      </w:r>
    </w:p>
    <w:p w:rsidR="007B0319" w:rsidRDefault="007B0319" w:rsidP="00D03958">
      <w:pPr>
        <w:pStyle w:val="Paragrafoelenco"/>
      </w:pPr>
      <w:r>
        <w:t>&gt; 1595 navi olandesi in Indonesia e Giava (carta pag. 154)</w:t>
      </w:r>
    </w:p>
    <w:p w:rsidR="007B0319" w:rsidRDefault="007B0319" w:rsidP="00D03958">
      <w:pPr>
        <w:pStyle w:val="Paragrafoelenco"/>
      </w:pPr>
      <w:r>
        <w:t>&gt; occupano colonie a Est che erano dei Portoghesi</w:t>
      </w:r>
    </w:p>
    <w:p w:rsidR="007B0319" w:rsidRPr="007B0319" w:rsidRDefault="007B0319" w:rsidP="00D03958">
      <w:pPr>
        <w:pStyle w:val="Paragrafoelenco"/>
        <w:rPr>
          <w:b/>
          <w:bCs/>
        </w:rPr>
      </w:pPr>
      <w:r>
        <w:t xml:space="preserve">&gt; nascono la Compagnia delle Indie Orientali e Compagnia delle Indie Occidentali: privati che navigavano per commercio a cui il sovrano concedeva il </w:t>
      </w:r>
      <w:r>
        <w:rPr>
          <w:b/>
          <w:bCs/>
        </w:rPr>
        <w:t>monopolio.</w:t>
      </w:r>
    </w:p>
    <w:p w:rsidR="007B0319" w:rsidRDefault="007B0319" w:rsidP="00D03958">
      <w:pPr>
        <w:pStyle w:val="Paragrafoelenco"/>
      </w:pPr>
    </w:p>
    <w:p w:rsidR="007B0319" w:rsidRPr="00EC4BE3" w:rsidRDefault="007B0319" w:rsidP="00D03958">
      <w:pPr>
        <w:pStyle w:val="Paragrafoelenco"/>
      </w:pPr>
      <w:r>
        <w:t>= cambiano gli equilibri mondiali</w:t>
      </w:r>
    </w:p>
    <w:p w:rsidR="00244FC4" w:rsidRPr="00244FC4" w:rsidRDefault="00244FC4" w:rsidP="00D03958">
      <w:pPr>
        <w:pStyle w:val="Paragrafoelenco"/>
        <w:rPr>
          <w:b/>
          <w:bCs/>
        </w:rPr>
      </w:pPr>
    </w:p>
    <w:p w:rsidR="00286B1A" w:rsidRDefault="00286B1A" w:rsidP="00050E88">
      <w:pPr>
        <w:pStyle w:val="Paragrafoelenco"/>
      </w:pPr>
    </w:p>
    <w:p w:rsidR="00286B1A" w:rsidRDefault="00286B1A" w:rsidP="00050E88">
      <w:pPr>
        <w:pStyle w:val="Paragrafoelenco"/>
      </w:pPr>
    </w:p>
    <w:p w:rsidR="00F85718" w:rsidRDefault="00F85718" w:rsidP="00050E88">
      <w:pPr>
        <w:pStyle w:val="Paragrafoelenco"/>
      </w:pPr>
    </w:p>
    <w:p w:rsidR="00F85718" w:rsidRDefault="00F85718" w:rsidP="00050E88">
      <w:pPr>
        <w:pStyle w:val="Paragrafoelenco"/>
      </w:pPr>
    </w:p>
    <w:p w:rsidR="00566799" w:rsidRDefault="00566799" w:rsidP="00050E88">
      <w:pPr>
        <w:pStyle w:val="Paragrafoelenco"/>
      </w:pPr>
    </w:p>
    <w:p w:rsidR="00CD48ED" w:rsidRDefault="00CD48ED" w:rsidP="00050E88">
      <w:pPr>
        <w:pStyle w:val="Paragrafoelenco"/>
      </w:pPr>
    </w:p>
    <w:p w:rsidR="00CD48ED" w:rsidRDefault="00CD48ED" w:rsidP="00050E88">
      <w:pPr>
        <w:pStyle w:val="Paragrafoelenco"/>
      </w:pPr>
    </w:p>
    <w:p w:rsidR="00CD48ED" w:rsidRDefault="00CD48ED" w:rsidP="00050E88">
      <w:pPr>
        <w:pStyle w:val="Paragrafoelenco"/>
      </w:pPr>
    </w:p>
    <w:p w:rsidR="00CD48ED" w:rsidRDefault="00CD48ED" w:rsidP="00050E88">
      <w:pPr>
        <w:pStyle w:val="Paragrafoelenco"/>
      </w:pPr>
    </w:p>
    <w:p w:rsidR="000622B5" w:rsidRDefault="000622B5" w:rsidP="00050E88">
      <w:pPr>
        <w:pStyle w:val="Paragrafoelenco"/>
      </w:pPr>
    </w:p>
    <w:p w:rsidR="000622B5" w:rsidRPr="00050E88" w:rsidRDefault="000622B5" w:rsidP="00050E88">
      <w:pPr>
        <w:pStyle w:val="Paragrafoelenco"/>
      </w:pPr>
    </w:p>
    <w:p w:rsidR="009C4B8E" w:rsidRDefault="009C4B8E">
      <w:pPr>
        <w:rPr>
          <w:b/>
          <w:bCs/>
        </w:rPr>
      </w:pPr>
    </w:p>
    <w:p w:rsidR="009C4B8E" w:rsidRPr="00734779" w:rsidRDefault="009C4B8E">
      <w:pPr>
        <w:rPr>
          <w:b/>
          <w:bCs/>
        </w:rPr>
      </w:pPr>
    </w:p>
    <w:sectPr w:rsidR="009C4B8E" w:rsidRPr="00734779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DA0"/>
    <w:multiLevelType w:val="hybridMultilevel"/>
    <w:tmpl w:val="3D9E2D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455"/>
    <w:multiLevelType w:val="hybridMultilevel"/>
    <w:tmpl w:val="E1DAE20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964959"/>
    <w:multiLevelType w:val="hybridMultilevel"/>
    <w:tmpl w:val="5900B6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83A0C"/>
    <w:multiLevelType w:val="hybridMultilevel"/>
    <w:tmpl w:val="45C02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79"/>
    <w:rsid w:val="00050E88"/>
    <w:rsid w:val="000622B5"/>
    <w:rsid w:val="00081FFE"/>
    <w:rsid w:val="00221955"/>
    <w:rsid w:val="00244FC4"/>
    <w:rsid w:val="00286B1A"/>
    <w:rsid w:val="003C599A"/>
    <w:rsid w:val="00566799"/>
    <w:rsid w:val="005E1DA3"/>
    <w:rsid w:val="00734779"/>
    <w:rsid w:val="007B0319"/>
    <w:rsid w:val="00920AE8"/>
    <w:rsid w:val="00991B59"/>
    <w:rsid w:val="009C4B8E"/>
    <w:rsid w:val="00A56B2D"/>
    <w:rsid w:val="00B0758C"/>
    <w:rsid w:val="00BA3F15"/>
    <w:rsid w:val="00C862AA"/>
    <w:rsid w:val="00CA67FC"/>
    <w:rsid w:val="00CD48ED"/>
    <w:rsid w:val="00D03958"/>
    <w:rsid w:val="00D1184C"/>
    <w:rsid w:val="00D91CC1"/>
    <w:rsid w:val="00DA10A6"/>
    <w:rsid w:val="00E11873"/>
    <w:rsid w:val="00EC4BE3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098A6"/>
  <w15:chartTrackingRefBased/>
  <w15:docId w15:val="{9B3E31BD-063D-0545-86B4-1A3A8206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19</cp:revision>
  <dcterms:created xsi:type="dcterms:W3CDTF">2020-03-17T10:25:00Z</dcterms:created>
  <dcterms:modified xsi:type="dcterms:W3CDTF">2020-03-17T11:41:00Z</dcterms:modified>
</cp:coreProperties>
</file>